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C8" w:rsidRDefault="00B843C8">
      <w:bookmarkStart w:id="0" w:name="_GoBack"/>
      <w:bookmarkEnd w:id="0"/>
    </w:p>
    <w:p w:rsidR="00B843C8" w:rsidRDefault="00B843C8"/>
    <w:p w:rsidR="00B843C8" w:rsidRPr="00EE6E11" w:rsidRDefault="00B843C8" w:rsidP="00B843C8">
      <w:pPr>
        <w:pStyle w:val="8"/>
        <w:jc w:val="right"/>
        <w:rPr>
          <w:sz w:val="28"/>
        </w:rPr>
      </w:pPr>
      <w:r w:rsidRPr="00EE6E11">
        <w:rPr>
          <w:sz w:val="28"/>
        </w:rPr>
        <w:t>Форма 19</w:t>
      </w:r>
    </w:p>
    <w:p w:rsidR="00B843C8" w:rsidRDefault="00B843C8" w:rsidP="00B843C8"/>
    <w:p w:rsidR="00B843C8" w:rsidRDefault="00B843C8" w:rsidP="00B843C8"/>
    <w:p w:rsidR="00B843C8" w:rsidRPr="00EE6E11" w:rsidRDefault="00B843C8" w:rsidP="00B843C8">
      <w:pPr>
        <w:pStyle w:val="9"/>
        <w:rPr>
          <w:b/>
        </w:rPr>
      </w:pPr>
      <w:r w:rsidRPr="00EE6E11">
        <w:rPr>
          <w:b/>
        </w:rPr>
        <w:t>Сведения</w:t>
      </w:r>
    </w:p>
    <w:p w:rsidR="00B843C8" w:rsidRDefault="00B843C8" w:rsidP="00B843C8">
      <w:pPr>
        <w:pStyle w:val="9"/>
      </w:pPr>
      <w:r w:rsidRPr="00EE6E11">
        <w:rPr>
          <w:b/>
        </w:rPr>
        <w:t xml:space="preserve"> об обеспеченности трудовыми ресурсами (руководителями, специалистами, квалифицированными рабочими и служащими) из числа граждан, пребывающих в запасе, на период мобилизации и на военное время </w:t>
      </w:r>
    </w:p>
    <w:p w:rsidR="00B843C8" w:rsidRDefault="00B843C8" w:rsidP="00B8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___________________________________________________________________________________________</w:t>
      </w:r>
    </w:p>
    <w:p w:rsidR="00B843C8" w:rsidRPr="00B843C8" w:rsidRDefault="00B843C8" w:rsidP="00B843C8">
      <w:pPr>
        <w:jc w:val="center"/>
        <w:rPr>
          <w:sz w:val="20"/>
          <w:szCs w:val="20"/>
        </w:rPr>
      </w:pPr>
      <w:r w:rsidRPr="00B843C8">
        <w:rPr>
          <w:sz w:val="16"/>
          <w:szCs w:val="16"/>
        </w:rPr>
        <w:t>(</w:t>
      </w:r>
      <w:r w:rsidRPr="00B843C8">
        <w:rPr>
          <w:sz w:val="20"/>
          <w:szCs w:val="20"/>
        </w:rPr>
        <w:t>наименование органа государственной власти, органа местного самоуправления или организации)</w:t>
      </w:r>
    </w:p>
    <w:p w:rsidR="00B843C8" w:rsidRPr="00EE6E11" w:rsidRDefault="00B843C8" w:rsidP="00B8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 «</w:t>
      </w:r>
      <w:r w:rsidR="00EB184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</w:t>
      </w:r>
      <w:r w:rsidR="0030651B">
        <w:rPr>
          <w:b/>
          <w:sz w:val="28"/>
          <w:szCs w:val="28"/>
        </w:rPr>
        <w:t xml:space="preserve"> </w:t>
      </w:r>
      <w:r w:rsidR="00EB184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0651B">
        <w:rPr>
          <w:b/>
          <w:sz w:val="28"/>
          <w:szCs w:val="28"/>
        </w:rPr>
        <w:t>2</w:t>
      </w:r>
      <w:r w:rsidR="00EB18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30651B">
        <w:rPr>
          <w:b/>
          <w:sz w:val="28"/>
          <w:szCs w:val="28"/>
        </w:rPr>
        <w:t>ода</w:t>
      </w:r>
    </w:p>
    <w:p w:rsidR="00B843C8" w:rsidRDefault="00B843C8" w:rsidP="00B843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686"/>
        <w:gridCol w:w="1686"/>
        <w:gridCol w:w="1686"/>
        <w:gridCol w:w="1686"/>
        <w:gridCol w:w="1686"/>
        <w:gridCol w:w="1686"/>
        <w:gridCol w:w="1686"/>
        <w:gridCol w:w="1714"/>
      </w:tblGrid>
      <w:tr w:rsidR="00B843C8" w:rsidTr="0030651B">
        <w:tc>
          <w:tcPr>
            <w:tcW w:w="695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Всего</w:t>
            </w:r>
          </w:p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работающих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Из числа работающих граждан, пребывающих в запасе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Забронировано граждан, пребывающих в запасе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Подлежит призыву по мобилизации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Остается в организации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Потребность на расчетный год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Некомплект (-)</w:t>
            </w:r>
          </w:p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Избыток (+)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843C8" w:rsidRPr="0030651B" w:rsidRDefault="00B843C8" w:rsidP="0030651B">
            <w:pPr>
              <w:jc w:val="center"/>
              <w:rPr>
                <w:sz w:val="22"/>
                <w:szCs w:val="22"/>
              </w:rPr>
            </w:pPr>
            <w:r w:rsidRPr="0030651B">
              <w:rPr>
                <w:sz w:val="22"/>
                <w:szCs w:val="22"/>
              </w:rPr>
              <w:t>Процент обеспеченности трудовыми ресурсами</w:t>
            </w:r>
          </w:p>
        </w:tc>
      </w:tr>
      <w:tr w:rsidR="00B843C8" w:rsidTr="0030651B">
        <w:tc>
          <w:tcPr>
            <w:tcW w:w="695" w:type="pct"/>
            <w:shd w:val="clear" w:color="auto" w:fill="auto"/>
          </w:tcPr>
          <w:p w:rsidR="00B843C8" w:rsidRDefault="00B843C8" w:rsidP="00B843C8">
            <w:r>
              <w:t>Руководители</w:t>
            </w: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ind w:left="-468"/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</w:tr>
      <w:tr w:rsidR="00B843C8" w:rsidTr="0030651B">
        <w:tc>
          <w:tcPr>
            <w:tcW w:w="695" w:type="pct"/>
            <w:shd w:val="clear" w:color="auto" w:fill="auto"/>
          </w:tcPr>
          <w:p w:rsidR="00B843C8" w:rsidRDefault="00B843C8" w:rsidP="00B843C8">
            <w:r>
              <w:t>Специалисты</w:t>
            </w: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</w:tr>
      <w:tr w:rsidR="00B843C8" w:rsidTr="0030651B">
        <w:tc>
          <w:tcPr>
            <w:tcW w:w="695" w:type="pct"/>
            <w:shd w:val="clear" w:color="auto" w:fill="auto"/>
          </w:tcPr>
          <w:p w:rsidR="00B843C8" w:rsidRDefault="00B843C8" w:rsidP="00B843C8">
            <w:r>
              <w:t>Служащие</w:t>
            </w: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</w:tr>
      <w:tr w:rsidR="00B843C8" w:rsidTr="0030651B">
        <w:tc>
          <w:tcPr>
            <w:tcW w:w="695" w:type="pct"/>
            <w:shd w:val="clear" w:color="auto" w:fill="auto"/>
          </w:tcPr>
          <w:p w:rsidR="00B843C8" w:rsidRDefault="00B843C8" w:rsidP="00B843C8">
            <w:r>
              <w:t>Рабочие</w:t>
            </w: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</w:tr>
      <w:tr w:rsidR="00B843C8" w:rsidTr="0030651B">
        <w:tc>
          <w:tcPr>
            <w:tcW w:w="695" w:type="pct"/>
            <w:shd w:val="clear" w:color="auto" w:fill="auto"/>
          </w:tcPr>
          <w:p w:rsidR="00B843C8" w:rsidRDefault="00B843C8" w:rsidP="00B843C8">
            <w:r>
              <w:t>из них водители</w:t>
            </w: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</w:tr>
      <w:tr w:rsidR="00B843C8" w:rsidTr="0030651B">
        <w:tc>
          <w:tcPr>
            <w:tcW w:w="695" w:type="pct"/>
            <w:shd w:val="clear" w:color="auto" w:fill="auto"/>
          </w:tcPr>
          <w:p w:rsidR="00B843C8" w:rsidRPr="00C063E2" w:rsidRDefault="00B843C8" w:rsidP="00B843C8">
            <w:r>
              <w:t>Всего</w:t>
            </w:r>
          </w:p>
        </w:tc>
        <w:tc>
          <w:tcPr>
            <w:tcW w:w="538" w:type="pct"/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B843C8" w:rsidRDefault="00B843C8" w:rsidP="0030651B">
            <w:pPr>
              <w:jc w:val="center"/>
            </w:pPr>
          </w:p>
        </w:tc>
      </w:tr>
    </w:tbl>
    <w:p w:rsidR="00B843C8" w:rsidRDefault="00B843C8" w:rsidP="00B843C8"/>
    <w:p w:rsidR="00B843C8" w:rsidRDefault="00B843C8" w:rsidP="00B843C8"/>
    <w:p w:rsidR="00B843C8" w:rsidRDefault="00B843C8" w:rsidP="00B843C8">
      <w:pPr>
        <w:rPr>
          <w:sz w:val="28"/>
          <w:szCs w:val="28"/>
        </w:rPr>
      </w:pPr>
      <w:r w:rsidRPr="00B843C8">
        <w:rPr>
          <w:sz w:val="28"/>
          <w:szCs w:val="28"/>
        </w:rPr>
        <w:t>Руководитель</w:t>
      </w:r>
    </w:p>
    <w:p w:rsidR="00B843C8" w:rsidRDefault="00B843C8" w:rsidP="00B843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B843C8" w:rsidRDefault="00B843C8" w:rsidP="00B843C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(подпись, инициалы, фамилия)</w:t>
      </w:r>
    </w:p>
    <w:p w:rsidR="0094353B" w:rsidRDefault="0094353B" w:rsidP="00B843C8">
      <w:pPr>
        <w:jc w:val="center"/>
        <w:rPr>
          <w:sz w:val="20"/>
          <w:szCs w:val="20"/>
        </w:rPr>
      </w:pPr>
    </w:p>
    <w:p w:rsidR="0094353B" w:rsidRPr="00B843C8" w:rsidRDefault="0094353B" w:rsidP="0094353B">
      <w:pPr>
        <w:rPr>
          <w:sz w:val="20"/>
          <w:szCs w:val="20"/>
        </w:rPr>
      </w:pPr>
      <w:r>
        <w:rPr>
          <w:sz w:val="20"/>
          <w:szCs w:val="20"/>
        </w:rPr>
        <w:t>Примечание: форма заполняется в организациях, осуществляющих бронирование.</w:t>
      </w:r>
    </w:p>
    <w:p w:rsidR="00B843C8" w:rsidRDefault="00B843C8" w:rsidP="00B843C8"/>
    <w:p w:rsidR="00EB184B" w:rsidRDefault="00EB184B" w:rsidP="00B843C8"/>
    <w:p w:rsidR="00EB184B" w:rsidRDefault="00EB184B" w:rsidP="00B843C8"/>
    <w:p w:rsidR="00EB184B" w:rsidRDefault="00EB184B" w:rsidP="00EB184B">
      <w:pPr>
        <w:pStyle w:val="Style19"/>
        <w:widowControl/>
        <w:ind w:left="5266" w:right="-5"/>
        <w:jc w:val="both"/>
        <w:rPr>
          <w:rStyle w:val="FontStyle26"/>
        </w:rPr>
      </w:pPr>
      <w:r>
        <w:rPr>
          <w:rStyle w:val="FontStyle26"/>
        </w:rPr>
        <w:lastRenderedPageBreak/>
        <w:t>Пояснения по заполнению формы 19</w:t>
      </w:r>
    </w:p>
    <w:p w:rsidR="00EB184B" w:rsidRDefault="00EB184B" w:rsidP="00EB184B">
      <w:pPr>
        <w:pStyle w:val="Style20"/>
        <w:widowControl/>
        <w:spacing w:line="240" w:lineRule="exact"/>
        <w:ind w:right="-5"/>
        <w:rPr>
          <w:sz w:val="20"/>
          <w:szCs w:val="20"/>
        </w:rPr>
      </w:pPr>
    </w:p>
    <w:p w:rsidR="00EB184B" w:rsidRDefault="00EB184B" w:rsidP="00EB184B">
      <w:pPr>
        <w:pStyle w:val="Style20"/>
        <w:widowControl/>
        <w:tabs>
          <w:tab w:val="left" w:pos="922"/>
        </w:tabs>
        <w:spacing w:before="77" w:line="317" w:lineRule="exact"/>
        <w:ind w:right="-5"/>
        <w:rPr>
          <w:rStyle w:val="FontStyle26"/>
        </w:rPr>
      </w:pPr>
      <w:r>
        <w:rPr>
          <w:rStyle w:val="FontStyle26"/>
        </w:rPr>
        <w:t>1.</w:t>
      </w:r>
      <w:r>
        <w:rPr>
          <w:rStyle w:val="FontStyle26"/>
        </w:rPr>
        <w:tab/>
        <w:t>Форму 19 представляют только организации, в которых осуществляется бронирование граждан, пребывающих в</w:t>
      </w:r>
      <w:r>
        <w:rPr>
          <w:rStyle w:val="FontStyle26"/>
        </w:rPr>
        <w:br/>
        <w:t>запасе.</w:t>
      </w:r>
    </w:p>
    <w:p w:rsidR="00EB184B" w:rsidRDefault="00EB184B" w:rsidP="00EB184B">
      <w:pPr>
        <w:ind w:left="9360"/>
        <w:rPr>
          <w:sz w:val="28"/>
          <w:szCs w:val="28"/>
        </w:rPr>
      </w:pPr>
    </w:p>
    <w:p w:rsidR="00EB184B" w:rsidRPr="0067497C" w:rsidRDefault="00EB184B" w:rsidP="00EB184B">
      <w:pPr>
        <w:pStyle w:val="Style21"/>
        <w:widowControl/>
        <w:spacing w:before="67" w:line="317" w:lineRule="exact"/>
        <w:ind w:firstLine="706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Организации, структурные подразделения которых расположены на территории нескольких муниципальных образований, в форме 19 представляют сведения о количестве работающих, которые характеризует деятельность организации в соответствующем муниципальном образовании.</w:t>
      </w:r>
    </w:p>
    <w:p w:rsidR="00EB184B" w:rsidRPr="0067497C" w:rsidRDefault="00EB184B" w:rsidP="00EB184B">
      <w:pPr>
        <w:pStyle w:val="Style20"/>
        <w:widowControl/>
        <w:numPr>
          <w:ilvl w:val="0"/>
          <w:numId w:val="1"/>
        </w:numPr>
        <w:tabs>
          <w:tab w:val="left" w:pos="1042"/>
        </w:tabs>
        <w:spacing w:line="317" w:lineRule="exact"/>
        <w:ind w:left="768" w:firstLine="0"/>
        <w:jc w:val="left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Значение в графе «Всего работающих» должно совпадать с графой 2 (Всего работающих) формы 6</w:t>
      </w:r>
    </w:p>
    <w:p w:rsidR="00EB184B" w:rsidRPr="0067497C" w:rsidRDefault="00EB184B" w:rsidP="00EB184B">
      <w:pPr>
        <w:pStyle w:val="Style20"/>
        <w:widowControl/>
        <w:numPr>
          <w:ilvl w:val="0"/>
          <w:numId w:val="1"/>
        </w:numPr>
        <w:tabs>
          <w:tab w:val="left" w:pos="989"/>
        </w:tabs>
        <w:spacing w:line="317" w:lineRule="exact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Значение в графе «Из числа работающих граждан, пребывающих в запасе» должно совпадать с графой 3 (Пребывающих в запасе всего) формы 6.</w:t>
      </w:r>
    </w:p>
    <w:p w:rsidR="00EB184B" w:rsidRPr="0067497C" w:rsidRDefault="00EB184B" w:rsidP="00EB184B">
      <w:pPr>
        <w:pStyle w:val="Style20"/>
        <w:widowControl/>
        <w:numPr>
          <w:ilvl w:val="0"/>
          <w:numId w:val="1"/>
        </w:numPr>
        <w:tabs>
          <w:tab w:val="left" w:pos="989"/>
        </w:tabs>
        <w:spacing w:line="317" w:lineRule="exact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Значение в графе «Забронировано граждан, пребывающих в запасе» должно совпадать с графой 6 (Забронировано всего) формы 6.</w:t>
      </w:r>
    </w:p>
    <w:p w:rsidR="00EB184B" w:rsidRPr="0067497C" w:rsidRDefault="00EB184B" w:rsidP="00EB184B">
      <w:pPr>
        <w:pStyle w:val="Style20"/>
        <w:widowControl/>
        <w:numPr>
          <w:ilvl w:val="0"/>
          <w:numId w:val="1"/>
        </w:numPr>
        <w:tabs>
          <w:tab w:val="left" w:pos="989"/>
        </w:tabs>
        <w:spacing w:line="317" w:lineRule="exact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В графу «Подлежит призыву по мобилизации» включаются граждане, пребывающие в запасе, имеющие мобилизационные предписания (количество подлежащих призыву по мобилизации в строке «Всего» должно быть равно количеству в пункте 10.3 формы 18).</w:t>
      </w:r>
    </w:p>
    <w:p w:rsidR="00EB184B" w:rsidRPr="0067497C" w:rsidRDefault="00EB184B" w:rsidP="00EB184B">
      <w:pPr>
        <w:pStyle w:val="Style20"/>
        <w:widowControl/>
        <w:numPr>
          <w:ilvl w:val="0"/>
          <w:numId w:val="1"/>
        </w:numPr>
        <w:tabs>
          <w:tab w:val="left" w:pos="989"/>
        </w:tabs>
        <w:spacing w:line="317" w:lineRule="exact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Значения в графе «Остается в организации» равны разнице значений граф «Всего работающих» и «Подлежит призыву по мобилизации».</w:t>
      </w:r>
    </w:p>
    <w:p w:rsidR="00EB184B" w:rsidRPr="0067497C" w:rsidRDefault="00EB184B" w:rsidP="00EB184B">
      <w:pPr>
        <w:pStyle w:val="Style20"/>
        <w:widowControl/>
        <w:numPr>
          <w:ilvl w:val="0"/>
          <w:numId w:val="1"/>
        </w:numPr>
        <w:tabs>
          <w:tab w:val="left" w:pos="989"/>
        </w:tabs>
        <w:spacing w:line="317" w:lineRule="exact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В Графу «Потребность на расчетный год» включается потребность в работающих, в соответствии со штатным расписанием организации (их количество может быть больше, чем указано в графе «Всего работающих»).</w:t>
      </w:r>
    </w:p>
    <w:p w:rsidR="00EB184B" w:rsidRPr="0067497C" w:rsidRDefault="00EB184B" w:rsidP="00EB184B">
      <w:pPr>
        <w:pStyle w:val="Style20"/>
        <w:widowControl/>
        <w:numPr>
          <w:ilvl w:val="0"/>
          <w:numId w:val="1"/>
        </w:numPr>
        <w:tabs>
          <w:tab w:val="left" w:pos="989"/>
        </w:tabs>
        <w:spacing w:line="317" w:lineRule="exact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Значения в графе «Некомплект (-) Избыток (+)» равны разнице значений граф «Остается в организации» и «Потребность на расчетный год».</w:t>
      </w:r>
    </w:p>
    <w:p w:rsidR="00EB184B" w:rsidRPr="0067497C" w:rsidRDefault="00EB184B" w:rsidP="00EB184B">
      <w:pPr>
        <w:pStyle w:val="Style21"/>
        <w:widowControl/>
        <w:spacing w:line="240" w:lineRule="exact"/>
        <w:ind w:left="739" w:firstLine="0"/>
        <w:jc w:val="left"/>
        <w:rPr>
          <w:sz w:val="28"/>
          <w:szCs w:val="28"/>
        </w:rPr>
      </w:pPr>
    </w:p>
    <w:p w:rsidR="00EB184B" w:rsidRPr="0067497C" w:rsidRDefault="00EB184B" w:rsidP="00EB184B">
      <w:pPr>
        <w:pStyle w:val="Style21"/>
        <w:widowControl/>
        <w:tabs>
          <w:tab w:val="left" w:leader="underscore" w:pos="5630"/>
          <w:tab w:val="left" w:leader="underscore" w:pos="9451"/>
        </w:tabs>
        <w:spacing w:before="96" w:line="240" w:lineRule="auto"/>
        <w:ind w:left="739" w:firstLine="0"/>
        <w:jc w:val="left"/>
        <w:rPr>
          <w:rStyle w:val="FontStyle25"/>
          <w:sz w:val="28"/>
          <w:szCs w:val="28"/>
        </w:rPr>
      </w:pPr>
      <w:r w:rsidRPr="00D22246">
        <w:rPr>
          <w:rStyle w:val="FontStyle26"/>
          <w:sz w:val="28"/>
          <w:szCs w:val="28"/>
          <w:u w:val="single"/>
        </w:rPr>
        <w:t>_   «Процент обеспеченности</w:t>
      </w:r>
      <w:r w:rsidRPr="0067497C">
        <w:rPr>
          <w:rStyle w:val="FontStyle26"/>
          <w:sz w:val="28"/>
          <w:szCs w:val="28"/>
        </w:rPr>
        <w:t xml:space="preserve">  _ </w:t>
      </w:r>
      <w:r w:rsidRPr="0067497C">
        <w:rPr>
          <w:rStyle w:val="FontStyle26"/>
          <w:sz w:val="28"/>
          <w:szCs w:val="28"/>
        </w:rPr>
        <w:tab/>
      </w:r>
      <w:r w:rsidRPr="0067497C">
        <w:rPr>
          <w:rStyle w:val="FontStyle26"/>
          <w:sz w:val="28"/>
          <w:szCs w:val="28"/>
          <w:u w:val="single"/>
        </w:rPr>
        <w:t>«Остается в организации»</w:t>
      </w:r>
      <w:r w:rsidRPr="0067497C">
        <w:rPr>
          <w:rStyle w:val="FontStyle26"/>
          <w:sz w:val="28"/>
          <w:szCs w:val="28"/>
        </w:rPr>
        <w:tab/>
      </w:r>
      <w:r w:rsidRPr="0067497C">
        <w:rPr>
          <w:rStyle w:val="FontStyle25"/>
          <w:sz w:val="28"/>
          <w:szCs w:val="28"/>
        </w:rPr>
        <w:t>*</w:t>
      </w:r>
      <w:r>
        <w:rPr>
          <w:rStyle w:val="FontStyle25"/>
          <w:sz w:val="28"/>
          <w:szCs w:val="28"/>
        </w:rPr>
        <w:t>10</w:t>
      </w:r>
      <w:r w:rsidR="00D22246">
        <w:rPr>
          <w:rStyle w:val="FontStyle25"/>
          <w:sz w:val="28"/>
          <w:szCs w:val="28"/>
        </w:rPr>
        <w:t>0%</w:t>
      </w:r>
    </w:p>
    <w:p w:rsidR="00EB184B" w:rsidRPr="0067497C" w:rsidRDefault="00EB184B" w:rsidP="00EB184B">
      <w:pPr>
        <w:pStyle w:val="Style19"/>
        <w:widowControl/>
        <w:tabs>
          <w:tab w:val="left" w:pos="5213"/>
        </w:tabs>
        <w:spacing w:line="326" w:lineRule="exact"/>
        <w:ind w:left="1147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трудовыми ресурсами»</w:t>
      </w:r>
      <w:r w:rsidRPr="0067497C">
        <w:rPr>
          <w:rStyle w:val="FontStyle26"/>
          <w:sz w:val="28"/>
          <w:szCs w:val="28"/>
        </w:rPr>
        <w:tab/>
        <w:t>«Потребность на расчетный год»</w:t>
      </w:r>
    </w:p>
    <w:p w:rsidR="00EB184B" w:rsidRPr="0067497C" w:rsidRDefault="00EB184B" w:rsidP="00EB184B">
      <w:pPr>
        <w:framePr w:h="965" w:hSpace="38" w:wrap="auto" w:vAnchor="text" w:hAnchor="text" w:x="10998" w:y="927"/>
        <w:rPr>
          <w:sz w:val="28"/>
          <w:szCs w:val="28"/>
        </w:rPr>
      </w:pPr>
    </w:p>
    <w:p w:rsidR="00EB184B" w:rsidRPr="0067497C" w:rsidRDefault="00EB184B" w:rsidP="00EB184B">
      <w:pPr>
        <w:framePr w:h="965" w:hSpace="38" w:wrap="auto" w:vAnchor="text" w:hAnchor="text" w:x="10998" w:y="927"/>
        <w:rPr>
          <w:sz w:val="28"/>
          <w:szCs w:val="28"/>
        </w:rPr>
      </w:pPr>
    </w:p>
    <w:p w:rsidR="00EB184B" w:rsidRPr="0067497C" w:rsidRDefault="00EB184B" w:rsidP="00EB184B">
      <w:pPr>
        <w:framePr w:h="965" w:hSpace="38" w:wrap="auto" w:vAnchor="text" w:hAnchor="text" w:x="10998" w:y="927"/>
        <w:rPr>
          <w:sz w:val="28"/>
          <w:szCs w:val="28"/>
        </w:rPr>
      </w:pPr>
    </w:p>
    <w:p w:rsidR="00D22246" w:rsidRDefault="00D22246" w:rsidP="00EB184B">
      <w:pPr>
        <w:pStyle w:val="Style19"/>
        <w:widowControl/>
        <w:spacing w:line="326" w:lineRule="exact"/>
        <w:rPr>
          <w:rStyle w:val="FontStyle26"/>
          <w:sz w:val="28"/>
          <w:szCs w:val="28"/>
        </w:rPr>
      </w:pPr>
    </w:p>
    <w:p w:rsidR="00EB184B" w:rsidRPr="0067497C" w:rsidRDefault="00EB184B" w:rsidP="00EB184B">
      <w:pPr>
        <w:pStyle w:val="Style19"/>
        <w:widowControl/>
        <w:spacing w:line="326" w:lineRule="exact"/>
        <w:rPr>
          <w:rStyle w:val="FontStyle26"/>
          <w:sz w:val="28"/>
          <w:szCs w:val="28"/>
        </w:rPr>
      </w:pPr>
      <w:r w:rsidRPr="0067497C">
        <w:rPr>
          <w:rStyle w:val="FontStyle26"/>
          <w:sz w:val="28"/>
          <w:szCs w:val="28"/>
        </w:rPr>
        <w:t>Процент округлять до двух знаков после запятой.</w:t>
      </w:r>
    </w:p>
    <w:sectPr w:rsidR="00EB184B" w:rsidRPr="0067497C" w:rsidSect="00B843C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B61"/>
    <w:multiLevelType w:val="singleLevel"/>
    <w:tmpl w:val="AB623FD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6852E2"/>
    <w:multiLevelType w:val="singleLevel"/>
    <w:tmpl w:val="AB623FD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C8"/>
    <w:rsid w:val="002275E7"/>
    <w:rsid w:val="0030651B"/>
    <w:rsid w:val="003D7F5B"/>
    <w:rsid w:val="0069033C"/>
    <w:rsid w:val="0094353B"/>
    <w:rsid w:val="009F54D5"/>
    <w:rsid w:val="00B843C8"/>
    <w:rsid w:val="00D22246"/>
    <w:rsid w:val="00E72273"/>
    <w:rsid w:val="00EB184B"/>
    <w:rsid w:val="00F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E1B7-7F76-416D-8923-A891235D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43C8"/>
    <w:rPr>
      <w:sz w:val="24"/>
      <w:szCs w:val="24"/>
    </w:rPr>
  </w:style>
  <w:style w:type="paragraph" w:styleId="8">
    <w:name w:val="heading 8"/>
    <w:basedOn w:val="a"/>
    <w:next w:val="a"/>
    <w:qFormat/>
    <w:rsid w:val="00B843C8"/>
    <w:pPr>
      <w:keepNext/>
      <w:ind w:left="12049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B843C8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rsid w:val="00EB184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EB184B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26">
    <w:name w:val="Font Style26"/>
    <w:rsid w:val="00EB184B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EB184B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25">
    <w:name w:val="Font Style25"/>
    <w:rsid w:val="00EB184B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19</vt:lpstr>
    </vt:vector>
  </TitlesOfParts>
  <Company>https://lawabc.ru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сведений об обеспеченности трудовыми ресурсами из числа граждан, пребывающих в запасе, на период мобилизации и на военное время по форме № 19</dc:title>
  <dc:subject>Образец сведений об обеспеченности трудовыми ресурсами из числа граждан, пребывающих в запасе, на период мобилизации и на военное время по форме № 19</dc:subject>
  <dc:creator>https://lawabc.ru</dc:creator>
  <cp:keywords>Образец сведений об обеспеченности трудовыми ресурсами из числа граждан, пребывающих в запасе, на период мобилизации и на военное время по форме № 19</cp:keywords>
  <dc:description>Образец сведений об обеспеченности трудовыми ресурсами из числа граждан, пребывающих в запасе, на период мобилизации и на военное время по форме № 19</dc:description>
  <cp:lastModifiedBy>Sales</cp:lastModifiedBy>
  <cp:revision>3</cp:revision>
  <dcterms:created xsi:type="dcterms:W3CDTF">2022-12-02T13:25:00Z</dcterms:created>
  <dcterms:modified xsi:type="dcterms:W3CDTF">2022-12-02T13:26:00Z</dcterms:modified>
  <cp:category>Образец сведений об обеспеченности трудовыми ресурсами из числа граждан, пребывающих в запасе, на период мобилизации и на военное время по форме № 19</cp:category>
</cp:coreProperties>
</file>